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AB" w:rsidRDefault="008368AB" w:rsidP="008368AB">
      <w:pPr>
        <w:jc w:val="center"/>
        <w:rPr>
          <w:b/>
          <w:sz w:val="28"/>
          <w:szCs w:val="28"/>
        </w:rPr>
      </w:pPr>
      <w:r w:rsidRPr="008B1E46">
        <w:rPr>
          <w:b/>
          <w:sz w:val="28"/>
          <w:szCs w:val="28"/>
        </w:rPr>
        <w:t>МЕТОДИКА ВЫБОРА АВТОПОЕЗДА</w:t>
      </w:r>
    </w:p>
    <w:p w:rsidR="00F7476A" w:rsidRDefault="008368AB" w:rsidP="008368AB">
      <w:pPr>
        <w:jc w:val="center"/>
        <w:rPr>
          <w:b/>
          <w:sz w:val="28"/>
          <w:szCs w:val="28"/>
        </w:rPr>
      </w:pPr>
      <w:r w:rsidRPr="008B1E46">
        <w:rPr>
          <w:b/>
          <w:sz w:val="28"/>
          <w:szCs w:val="28"/>
        </w:rPr>
        <w:t>ДЛЯ КОНКРЕТНЫХ УСЛОВИЙ ЭКСПЛУАТАЦИИ</w:t>
      </w:r>
    </w:p>
    <w:p w:rsidR="008368AB" w:rsidRDefault="008368AB" w:rsidP="008368AB">
      <w:pPr>
        <w:jc w:val="center"/>
        <w:rPr>
          <w:b/>
          <w:sz w:val="28"/>
          <w:szCs w:val="28"/>
        </w:rPr>
      </w:pPr>
    </w:p>
    <w:p w:rsidR="00F9496A" w:rsidRDefault="00F9496A" w:rsidP="008368AB">
      <w:pPr>
        <w:ind w:firstLine="708"/>
        <w:jc w:val="center"/>
        <w:rPr>
          <w:b/>
          <w:sz w:val="28"/>
          <w:szCs w:val="22"/>
          <w:lang w:val="uz-Cyrl-UZ"/>
        </w:rPr>
      </w:pPr>
      <w:proofErr w:type="spellStart"/>
      <w:r>
        <w:rPr>
          <w:b/>
          <w:sz w:val="28"/>
          <w:szCs w:val="28"/>
        </w:rPr>
        <w:t>Саттивалдиев</w:t>
      </w:r>
      <w:r w:rsidR="004F435B">
        <w:rPr>
          <w:b/>
          <w:sz w:val="28"/>
          <w:szCs w:val="28"/>
        </w:rPr>
        <w:t>.Б</w:t>
      </w:r>
      <w:proofErr w:type="spellEnd"/>
      <w:r w:rsidR="004F435B">
        <w:rPr>
          <w:b/>
          <w:sz w:val="28"/>
          <w:szCs w:val="28"/>
        </w:rPr>
        <w:t>.</w:t>
      </w:r>
      <w:r w:rsidR="008368AB">
        <w:rPr>
          <w:b/>
          <w:sz w:val="28"/>
          <w:szCs w:val="28"/>
        </w:rPr>
        <w:t xml:space="preserve">, Саитов Ш.Л. </w:t>
      </w:r>
      <w:r w:rsidR="008368AB" w:rsidRPr="008368AB">
        <w:rPr>
          <w:b/>
          <w:sz w:val="28"/>
          <w:szCs w:val="22"/>
          <w:lang w:val="uz-Cyrl-UZ"/>
        </w:rPr>
        <w:t>(ТАЙЛҚЭИ)</w:t>
      </w:r>
    </w:p>
    <w:p w:rsidR="008368AB" w:rsidRPr="00F9496A" w:rsidRDefault="008368AB" w:rsidP="008368AB">
      <w:pPr>
        <w:ind w:firstLine="708"/>
        <w:jc w:val="center"/>
        <w:rPr>
          <w:b/>
          <w:sz w:val="28"/>
          <w:szCs w:val="28"/>
        </w:rPr>
      </w:pPr>
    </w:p>
    <w:p w:rsidR="008B1E46" w:rsidRPr="008B1E46" w:rsidRDefault="008B1E46" w:rsidP="00F9496A">
      <w:pPr>
        <w:ind w:firstLine="708"/>
        <w:jc w:val="both"/>
        <w:rPr>
          <w:b/>
          <w:sz w:val="28"/>
          <w:szCs w:val="28"/>
        </w:rPr>
      </w:pPr>
      <w:r w:rsidRPr="008B1E46">
        <w:rPr>
          <w:color w:val="111111"/>
          <w:sz w:val="28"/>
          <w:szCs w:val="28"/>
          <w:lang w:eastAsia="uz-Cyrl-UZ"/>
        </w:rPr>
        <w:t>Обеспечение экономической безопасности автотранспортного предприятия зависит от многих факторов, в числе которых одним из основных является правильность выбора подвижного состава автомобильного транспорта. В современных условиях видения хозяйственной деятельности правильный выбор модели автотранспортного средства для выполнения функциональных задача стоит перед каждым автотранспортным предприятием (АТП). Для перевозчика приоритетным является увеличение сбыта собственных услуг, что выражается в росте коэффициента выпуска подвижного состава на линию при одновременном снижении внутрипроизводственных затрат, для клиента важен факт покупки требуемого объема услуг высокого качества за минимально возможную цену.</w:t>
      </w:r>
    </w:p>
    <w:p w:rsidR="008B1E46" w:rsidRPr="00820E60" w:rsidRDefault="008B1E46" w:rsidP="00F9496A">
      <w:pPr>
        <w:ind w:firstLine="708"/>
        <w:jc w:val="both"/>
        <w:rPr>
          <w:sz w:val="28"/>
        </w:rPr>
      </w:pPr>
      <w:r>
        <w:rPr>
          <w:noProof/>
          <w:lang w:val="uz-Cyrl-UZ" w:eastAsia="uz-Cyrl-UZ"/>
        </w:rPr>
        <w:drawing>
          <wp:anchor distT="0" distB="0" distL="114300" distR="114300" simplePos="0" relativeHeight="251652608" behindDoc="1" locked="0" layoutInCell="1" allowOverlap="1" wp14:anchorId="19A675AC" wp14:editId="21FD1650">
            <wp:simplePos x="0" y="0"/>
            <wp:positionH relativeFrom="column">
              <wp:posOffset>67945</wp:posOffset>
            </wp:positionH>
            <wp:positionV relativeFrom="paragraph">
              <wp:posOffset>881380</wp:posOffset>
            </wp:positionV>
            <wp:extent cx="1945640" cy="2079625"/>
            <wp:effectExtent l="0" t="0" r="0" b="0"/>
            <wp:wrapTight wrapText="bothSides">
              <wp:wrapPolygon edited="0">
                <wp:start x="0" y="0"/>
                <wp:lineTo x="0" y="21369"/>
                <wp:lineTo x="21360" y="21369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2" r="6822"/>
                    <a:stretch/>
                  </pic:blipFill>
                  <pic:spPr bwMode="auto">
                    <a:xfrm>
                      <a:off x="0" y="0"/>
                      <a:ext cx="1945640" cy="207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E60">
        <w:rPr>
          <w:sz w:val="28"/>
        </w:rPr>
        <w:t>2015 году рост услуг транспорта</w:t>
      </w:r>
      <w:r>
        <w:rPr>
          <w:sz w:val="28"/>
        </w:rPr>
        <w:t xml:space="preserve"> в Узбекистане </w:t>
      </w:r>
      <w:r w:rsidRPr="00820E60">
        <w:rPr>
          <w:sz w:val="28"/>
        </w:rPr>
        <w:t>(включая логистические услуги) составил 105,1% к аналогичному показателю 2014 года, доля услуг транспорта в общем объеме услуг – 26,7%. перевозка грузов и грузооборот. В течение 2015 года объем перевозки грузов всеми видами транспорта составил 105,1% к 2014 году. Наибольший удельный вес в объеме перевозок грузов традиционно занимает автомобильный транспорт (91,2%). На долю железнодорожного транспорта приходится 4,4%, трубопроводного – 4,4%, воздушного транспорта – 0,002% от объема перевозок грузов.</w:t>
      </w:r>
    </w:p>
    <w:p w:rsidR="008B1E46" w:rsidRDefault="008B1E46" w:rsidP="00F9496A">
      <w:pPr>
        <w:ind w:firstLine="708"/>
        <w:jc w:val="both"/>
        <w:rPr>
          <w:sz w:val="28"/>
        </w:rPr>
      </w:pPr>
      <w:r w:rsidRPr="00820E60">
        <w:rPr>
          <w:sz w:val="28"/>
        </w:rPr>
        <w:t>Объем грузооборота составил 88 868,7 млн. тонн-км (103,7% к показателю 2014 года). Самая значительная доля в общем объеме грузооборота приходится на автомобильный транспорт – 38,2%, в то время как доля трубопроводного транспорта составляет 35,9%, железнодорожного – 25,8%, воздушного – 0,15% от объема грузооборота.</w:t>
      </w:r>
    </w:p>
    <w:p w:rsidR="00F7476A" w:rsidRDefault="008B1E46" w:rsidP="00F9496A">
      <w:pPr>
        <w:ind w:firstLine="708"/>
        <w:jc w:val="both"/>
        <w:rPr>
          <w:sz w:val="28"/>
          <w:lang w:val="uz-Cyrl-UZ"/>
        </w:rPr>
      </w:pPr>
      <w:r w:rsidRPr="00820E60">
        <w:rPr>
          <w:sz w:val="28"/>
          <w:lang w:val="uz-Cyrl-UZ"/>
        </w:rPr>
        <w:t>Грузооборот автомобильного транспорта составил 33 934,2 млн. тонн-км, или 107,9% к показателю 2014 года.</w:t>
      </w:r>
    </w:p>
    <w:p w:rsidR="00E87382" w:rsidRDefault="00E87382" w:rsidP="00E87382">
      <w:pPr>
        <w:rPr>
          <w:sz w:val="28"/>
          <w:lang w:val="uz-Cyrl-UZ"/>
        </w:rPr>
      </w:pPr>
    </w:p>
    <w:p w:rsidR="008B1E46" w:rsidRDefault="00E87382" w:rsidP="00E87382">
      <w:pPr>
        <w:rPr>
          <w:sz w:val="28"/>
        </w:rPr>
      </w:pPr>
      <w:r>
        <w:rPr>
          <w:sz w:val="28"/>
          <w:lang w:val="uz-Cyrl-UZ"/>
        </w:rPr>
        <w:t xml:space="preserve">        </w:t>
      </w:r>
      <w:r w:rsidR="008B1E46" w:rsidRPr="00744049">
        <w:rPr>
          <w:b/>
          <w:noProof/>
          <w:lang w:val="uz-Cyrl-UZ" w:eastAsia="uz-Cyrl-UZ"/>
        </w:rPr>
        <w:drawing>
          <wp:inline distT="0" distB="0" distL="0" distR="0" wp14:anchorId="054DB1D7" wp14:editId="10AC301E">
            <wp:extent cx="5540707" cy="1801505"/>
            <wp:effectExtent l="0" t="0" r="3175" b="82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00F5" w:rsidRDefault="00F9496A" w:rsidP="00F9496A">
      <w:pPr>
        <w:ind w:firstLine="708"/>
        <w:jc w:val="both"/>
        <w:rPr>
          <w:sz w:val="28"/>
        </w:rPr>
      </w:pPr>
      <w:r w:rsidRPr="00233E7F">
        <w:rPr>
          <w:noProof/>
          <w:sz w:val="28"/>
          <w:lang w:val="uz-Cyrl-UZ" w:eastAsia="uz-Cyrl-UZ"/>
        </w:rPr>
        <w:lastRenderedPageBreak/>
        <w:drawing>
          <wp:anchor distT="0" distB="0" distL="114300" distR="114300" simplePos="0" relativeHeight="251662848" behindDoc="1" locked="0" layoutInCell="1" allowOverlap="1" wp14:anchorId="173529D2" wp14:editId="6D921A47">
            <wp:simplePos x="0" y="0"/>
            <wp:positionH relativeFrom="column">
              <wp:posOffset>267496</wp:posOffset>
            </wp:positionH>
            <wp:positionV relativeFrom="paragraph">
              <wp:posOffset>491490</wp:posOffset>
            </wp:positionV>
            <wp:extent cx="5810250" cy="2675890"/>
            <wp:effectExtent l="0" t="0" r="0" b="0"/>
            <wp:wrapTight wrapText="bothSides">
              <wp:wrapPolygon edited="0">
                <wp:start x="0" y="0"/>
                <wp:lineTo x="0" y="21374"/>
                <wp:lineTo x="21529" y="21374"/>
                <wp:lineTo x="21529" y="0"/>
                <wp:lineTo x="0" y="0"/>
              </wp:wrapPolygon>
            </wp:wrapTight>
            <wp:docPr id="3" name="Рисунок 3" descr="C:\Users\Shukrullo\Desktop\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krullo\Desktop\7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6" t="4714" r="9132" b="7249"/>
                    <a:stretch/>
                  </pic:blipFill>
                  <pic:spPr bwMode="auto">
                    <a:xfrm>
                      <a:off x="0" y="0"/>
                      <a:ext cx="581025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F5" w:rsidRPr="00820E60">
        <w:rPr>
          <w:sz w:val="28"/>
          <w:lang w:val="uz-Cyrl-UZ"/>
        </w:rPr>
        <w:t>В 2015 году автомобиль</w:t>
      </w:r>
      <w:r w:rsidR="00F700F5">
        <w:rPr>
          <w:sz w:val="28"/>
          <w:lang w:val="uz-Cyrl-UZ"/>
        </w:rPr>
        <w:t>ным транспортом перевезено 1 527,0</w:t>
      </w:r>
      <w:r w:rsidR="00F700F5" w:rsidRPr="00820E60">
        <w:rPr>
          <w:sz w:val="28"/>
          <w:lang w:val="uz-Cyrl-UZ"/>
        </w:rPr>
        <w:t xml:space="preserve"> млн. тонн грузов (105,4% к показателю 2014 года)</w:t>
      </w:r>
    </w:p>
    <w:p w:rsidR="006D108B" w:rsidRDefault="00D72103" w:rsidP="00F9496A">
      <w:pPr>
        <w:shd w:val="clear" w:color="auto" w:fill="FFFFFF" w:themeFill="background1"/>
        <w:ind w:firstLine="720"/>
        <w:jc w:val="both"/>
        <w:rPr>
          <w:color w:val="111111"/>
          <w:sz w:val="28"/>
          <w:szCs w:val="28"/>
          <w:lang w:eastAsia="uz-Cyrl-UZ"/>
        </w:rPr>
      </w:pPr>
      <w:r>
        <w:rPr>
          <w:color w:val="111111"/>
          <w:sz w:val="28"/>
          <w:szCs w:val="28"/>
          <w:lang w:eastAsia="uz-Cyrl-UZ"/>
        </w:rPr>
        <w:t>Статистический а</w:t>
      </w:r>
      <w:r w:rsidR="006D108B" w:rsidRPr="006D108B">
        <w:rPr>
          <w:color w:val="111111"/>
          <w:sz w:val="28"/>
          <w:szCs w:val="28"/>
          <w:lang w:eastAsia="uz-Cyrl-UZ"/>
        </w:rPr>
        <w:t>нализ</w:t>
      </w:r>
      <w:r>
        <w:rPr>
          <w:color w:val="111111"/>
          <w:sz w:val="28"/>
          <w:szCs w:val="28"/>
          <w:lang w:eastAsia="uz-Cyrl-UZ"/>
        </w:rPr>
        <w:t>,</w:t>
      </w:r>
      <w:r w:rsidR="006D108B" w:rsidRPr="006D108B">
        <w:rPr>
          <w:color w:val="111111"/>
          <w:sz w:val="28"/>
          <w:szCs w:val="28"/>
          <w:lang w:eastAsia="uz-Cyrl-UZ"/>
        </w:rPr>
        <w:t xml:space="preserve"> тенденций развития </w:t>
      </w:r>
      <w:r>
        <w:rPr>
          <w:color w:val="111111"/>
          <w:sz w:val="28"/>
          <w:szCs w:val="28"/>
          <w:lang w:eastAsia="uz-Cyrl-UZ"/>
        </w:rPr>
        <w:t>грузооборота, и перевозка грузов</w:t>
      </w:r>
      <w:r w:rsidR="006D108B" w:rsidRPr="006D108B">
        <w:rPr>
          <w:color w:val="111111"/>
          <w:sz w:val="28"/>
          <w:szCs w:val="28"/>
          <w:lang w:eastAsia="uz-Cyrl-UZ"/>
        </w:rPr>
        <w:t xml:space="preserve"> показывает, что с каждым годом расширяются области эффективного применения</w:t>
      </w:r>
      <w:r>
        <w:rPr>
          <w:color w:val="111111"/>
          <w:sz w:val="28"/>
          <w:szCs w:val="28"/>
          <w:lang w:eastAsia="uz-Cyrl-UZ"/>
        </w:rPr>
        <w:t xml:space="preserve"> </w:t>
      </w:r>
      <w:r w:rsidRPr="008B1E46">
        <w:rPr>
          <w:color w:val="111111"/>
          <w:sz w:val="28"/>
          <w:szCs w:val="28"/>
          <w:lang w:eastAsia="uz-Cyrl-UZ"/>
        </w:rPr>
        <w:t>автотранспортных средств</w:t>
      </w:r>
      <w:r w:rsidRPr="006D108B">
        <w:rPr>
          <w:color w:val="111111"/>
          <w:sz w:val="28"/>
          <w:szCs w:val="28"/>
          <w:lang w:eastAsia="uz-Cyrl-UZ"/>
        </w:rPr>
        <w:t>,</w:t>
      </w:r>
      <w:r w:rsidR="006D108B" w:rsidRPr="006D108B">
        <w:rPr>
          <w:color w:val="111111"/>
          <w:sz w:val="28"/>
          <w:szCs w:val="28"/>
          <w:lang w:eastAsia="uz-Cyrl-UZ"/>
        </w:rPr>
        <w:t xml:space="preserve"> растет доля их участия в перевозках.</w:t>
      </w:r>
    </w:p>
    <w:p w:rsidR="00322C4D" w:rsidRPr="008B1E46" w:rsidRDefault="00322C4D" w:rsidP="00F9496A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8B1E46">
        <w:rPr>
          <w:color w:val="111111"/>
          <w:sz w:val="28"/>
          <w:szCs w:val="28"/>
          <w:lang w:eastAsia="uz-Cyrl-UZ"/>
        </w:rPr>
        <w:t>В теории и практике грузовых перевозок получили распространение и использование, различные методики выбора автотранспортных средств.</w:t>
      </w:r>
    </w:p>
    <w:p w:rsidR="00125D2A" w:rsidRPr="008B1E46" w:rsidRDefault="00125D2A" w:rsidP="00F9496A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8B1E46">
        <w:rPr>
          <w:sz w:val="28"/>
          <w:szCs w:val="28"/>
        </w:rPr>
        <w:t>По размеру партий г</w:t>
      </w:r>
      <w:r w:rsidR="00D72103">
        <w:rPr>
          <w:sz w:val="28"/>
          <w:szCs w:val="28"/>
        </w:rPr>
        <w:t xml:space="preserve">руза перевозки бывают массовыми </w:t>
      </w:r>
      <w:r w:rsidRPr="008B1E46">
        <w:rPr>
          <w:sz w:val="28"/>
          <w:szCs w:val="28"/>
        </w:rPr>
        <w:t xml:space="preserve">и мелкопартионными. К </w:t>
      </w:r>
      <w:r w:rsidR="001A082B" w:rsidRPr="008B1E46">
        <w:rPr>
          <w:sz w:val="28"/>
          <w:szCs w:val="28"/>
        </w:rPr>
        <w:t>мелкопартионным относят</w:t>
      </w:r>
      <w:r w:rsidRPr="008B1E46">
        <w:rPr>
          <w:sz w:val="28"/>
          <w:szCs w:val="28"/>
        </w:rPr>
        <w:t xml:space="preserve"> перевозки, при которых объем партий груза не </w:t>
      </w:r>
      <w:r w:rsidR="001A082B" w:rsidRPr="008B1E46">
        <w:rPr>
          <w:sz w:val="28"/>
          <w:szCs w:val="28"/>
        </w:rPr>
        <w:t>превышает половины</w:t>
      </w:r>
      <w:r w:rsidRPr="008B1E46">
        <w:rPr>
          <w:sz w:val="28"/>
          <w:szCs w:val="28"/>
        </w:rPr>
        <w:t xml:space="preserve"> грузоподъемности транспортной единицы, то есть одним автомобилем (автопоездом) можно перевозить несколько отправок одновременно.</w:t>
      </w:r>
    </w:p>
    <w:p w:rsidR="00454948" w:rsidRPr="008B1E46" w:rsidRDefault="00F700F5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  <w:r w:rsidRPr="008B1E46">
        <w:rPr>
          <w:color w:val="111111"/>
          <w:sz w:val="28"/>
          <w:szCs w:val="28"/>
          <w:lang w:eastAsia="uz-Cyrl-UZ"/>
        </w:rPr>
        <w:t>В частности,</w:t>
      </w:r>
      <w:r w:rsidR="00454948" w:rsidRPr="008B1E46">
        <w:rPr>
          <w:color w:val="111111"/>
          <w:sz w:val="28"/>
          <w:szCs w:val="28"/>
          <w:lang w:eastAsia="uz-Cyrl-UZ"/>
        </w:rPr>
        <w:t xml:space="preserve"> для перевозки массовых грузов наиболее распространена технология выбора модели автотранспорта по показателям производительности и себестоимости; при сравнении подвижного состава определяют ра</w:t>
      </w:r>
      <w:r w:rsidR="003E3AC2">
        <w:rPr>
          <w:color w:val="111111"/>
          <w:sz w:val="28"/>
          <w:szCs w:val="28"/>
          <w:lang w:eastAsia="uz-Cyrl-UZ"/>
        </w:rPr>
        <w:t xml:space="preserve">вноценное расстояние перевозки, </w:t>
      </w:r>
      <w:r w:rsidR="00454948" w:rsidRPr="008B1E46">
        <w:rPr>
          <w:color w:val="111111"/>
          <w:sz w:val="28"/>
          <w:szCs w:val="28"/>
          <w:lang w:eastAsia="uz-Cyrl-UZ"/>
        </w:rPr>
        <w:t>опираясь на критерии производительности и себестоимости.</w:t>
      </w:r>
    </w:p>
    <w:p w:rsidR="00243E5D" w:rsidRPr="008B1E46" w:rsidRDefault="00ED09F6" w:rsidP="00F9496A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B1E46">
        <w:rPr>
          <w:color w:val="111111"/>
          <w:sz w:val="28"/>
          <w:szCs w:val="28"/>
          <w:lang w:eastAsia="uz-Cyrl-UZ"/>
        </w:rPr>
        <w:t>Данный расчет может быть выполнен для любого диапазона расстояния перевозок, поэтому его целесообразно представить в табличной форме, куда будут внесены все полученные значения коэффициентов по критериям производительности и себестоимости. Исходя из текущих целей заказа, клиент или ответственное функциональное лицо транспортного подразделения производственно-коммерческой организации быстро и оперативно может воспользоваться табличными результатами расчетов, пользуясь принципом наглядности, что значительно облегчает процедуру заключения договорных соглашений и выбора предпочтительной модели транспортного средства. Предварительный этап разработки технологии начинается с выбора базовой модели подвижного состава, имеющейся на балансе АТП.</w:t>
      </w:r>
      <w:r w:rsidR="00243E5D" w:rsidRPr="008B1E46">
        <w:rPr>
          <w:sz w:val="28"/>
          <w:szCs w:val="28"/>
        </w:rPr>
        <w:t xml:space="preserve"> </w:t>
      </w:r>
    </w:p>
    <w:p w:rsidR="00243E5D" w:rsidRPr="008B1E46" w:rsidRDefault="00243E5D" w:rsidP="00F9496A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B1E46">
        <w:rPr>
          <w:sz w:val="28"/>
          <w:szCs w:val="28"/>
        </w:rPr>
        <w:t xml:space="preserve">При выборе подвижного состава необходимо учитывать множество различных факторов, в том числе, в каких условиях будет эксплуатироваться автомобиль. </w:t>
      </w:r>
    </w:p>
    <w:p w:rsidR="00243E5D" w:rsidRPr="008B1E46" w:rsidRDefault="00243E5D" w:rsidP="00F9496A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B1E46">
        <w:rPr>
          <w:sz w:val="28"/>
          <w:szCs w:val="28"/>
        </w:rPr>
        <w:lastRenderedPageBreak/>
        <w:t xml:space="preserve">Поэтому первым этапом выбора автомобиля является ввод исходных данных об условиях эксплуатации. Этот этап включается в себя учет информации о планируемом месте эксплуатации автомобиля: длина ездки, температура окружающего воздуха, тип дорожного покрытия, средняя техническая и эксплуатационная скорость, время для погрузки и разгрузки и т.д. Изменение любого из этих показателей может повлиять на конечный результат. </w:t>
      </w:r>
    </w:p>
    <w:p w:rsidR="00243E5D" w:rsidRPr="008B1E46" w:rsidRDefault="00243E5D" w:rsidP="00F9496A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B1E46">
        <w:rPr>
          <w:sz w:val="28"/>
          <w:szCs w:val="28"/>
        </w:rPr>
        <w:t>После ввода данных об условиях эксплуатации, заполняются данные о технических показателях транспортных средств.</w:t>
      </w:r>
    </w:p>
    <w:p w:rsidR="00382993" w:rsidRPr="008B1E46" w:rsidRDefault="00875398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  <w:r w:rsidRPr="008B1E46">
        <w:rPr>
          <w:color w:val="111111"/>
          <w:sz w:val="28"/>
          <w:szCs w:val="28"/>
          <w:lang w:eastAsia="uz-Cyrl-UZ"/>
        </w:rPr>
        <w:t xml:space="preserve">С учетом отчетных значений технико-эксплуатационных показателей проводится расчет производительности для базовой модели. Расчетные данные по сравниваемым моделям подвижного состава сносятся в таблицу 1. </w:t>
      </w:r>
    </w:p>
    <w:p w:rsidR="00243E5D" w:rsidRDefault="00875398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  <w:r w:rsidRPr="008B1E46">
        <w:rPr>
          <w:color w:val="111111"/>
          <w:sz w:val="28"/>
          <w:szCs w:val="28"/>
          <w:lang w:eastAsia="uz-Cyrl-UZ"/>
        </w:rPr>
        <w:t>Значение себестоимости перевозок в аналогичном отнош</w:t>
      </w:r>
      <w:r w:rsidR="0016770B">
        <w:rPr>
          <w:color w:val="111111"/>
          <w:sz w:val="28"/>
          <w:szCs w:val="28"/>
          <w:lang w:eastAsia="uz-Cyrl-UZ"/>
        </w:rPr>
        <w:t xml:space="preserve">ении – </w:t>
      </w:r>
      <w:proofErr w:type="spellStart"/>
      <w:r w:rsidR="0016770B">
        <w:rPr>
          <w:color w:val="111111"/>
          <w:sz w:val="28"/>
          <w:szCs w:val="28"/>
          <w:lang w:eastAsia="uz-Cyrl-UZ"/>
        </w:rPr>
        <w:t>сум</w:t>
      </w:r>
      <w:proofErr w:type="spellEnd"/>
      <w:r w:rsidRPr="008B1E46">
        <w:rPr>
          <w:color w:val="111111"/>
          <w:sz w:val="28"/>
          <w:szCs w:val="28"/>
          <w:lang w:eastAsia="uz-Cyrl-UZ"/>
        </w:rPr>
        <w:t>/час, принимаются также из отчетных данных АТП и сносятся в таблицу.</w:t>
      </w:r>
    </w:p>
    <w:p w:rsidR="00374D2E" w:rsidRPr="008B1E46" w:rsidRDefault="00374D2E" w:rsidP="00F9496A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875398" w:rsidRPr="008B1E46" w:rsidRDefault="00875398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  <w:r w:rsidRPr="008B1E46">
        <w:rPr>
          <w:color w:val="111111"/>
          <w:sz w:val="28"/>
          <w:szCs w:val="28"/>
          <w:lang w:eastAsia="uz-Cyrl-UZ"/>
        </w:rPr>
        <w:t>Таблица 1 – Информация для выбора подвижного состава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3177"/>
        <w:gridCol w:w="2488"/>
        <w:gridCol w:w="1754"/>
      </w:tblGrid>
      <w:tr w:rsidR="00E13709" w:rsidRPr="008B1E46" w:rsidTr="001754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uz-Cyrl-UZ"/>
              </w:rPr>
            </w:pPr>
            <w:r w:rsidRPr="008B1E46">
              <w:rPr>
                <w:sz w:val="28"/>
                <w:szCs w:val="28"/>
                <w:lang w:eastAsia="uz-Cyrl-UZ"/>
              </w:rPr>
              <w:t>Марка автомобиля</w:t>
            </w:r>
          </w:p>
        </w:tc>
        <w:tc>
          <w:tcPr>
            <w:tcW w:w="3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uz-Cyrl-UZ"/>
              </w:rPr>
            </w:pPr>
            <w:r w:rsidRPr="008B1E46">
              <w:rPr>
                <w:sz w:val="28"/>
                <w:szCs w:val="28"/>
                <w:lang w:eastAsia="uz-Cyrl-UZ"/>
              </w:rPr>
              <w:t>Производительность (</w:t>
            </w:r>
            <w:proofErr w:type="gramStart"/>
            <w:r w:rsidRPr="008B1E46">
              <w:rPr>
                <w:sz w:val="28"/>
                <w:szCs w:val="28"/>
                <w:lang w:eastAsia="uz-Cyrl-UZ"/>
              </w:rPr>
              <w:t>W</w:t>
            </w:r>
            <w:r w:rsidRPr="008B1E46">
              <w:rPr>
                <w:sz w:val="28"/>
                <w:szCs w:val="28"/>
                <w:vertAlign w:val="subscript"/>
                <w:lang w:eastAsia="uz-Cyrl-UZ"/>
              </w:rPr>
              <w:t> </w:t>
            </w:r>
            <w:r w:rsidRPr="008B1E46">
              <w:rPr>
                <w:sz w:val="28"/>
                <w:szCs w:val="28"/>
                <w:lang w:eastAsia="uz-Cyrl-UZ"/>
              </w:rPr>
              <w:t>)</w:t>
            </w:r>
            <w:proofErr w:type="gramEnd"/>
            <w:r w:rsidRPr="008B1E46">
              <w:rPr>
                <w:sz w:val="28"/>
                <w:szCs w:val="28"/>
                <w:lang w:eastAsia="uz-Cyrl-UZ"/>
              </w:rPr>
              <w:t xml:space="preserve"> т/ч</w:t>
            </w:r>
          </w:p>
        </w:tc>
        <w:tc>
          <w:tcPr>
            <w:tcW w:w="2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jc w:val="both"/>
              <w:rPr>
                <w:sz w:val="28"/>
                <w:szCs w:val="28"/>
                <w:lang w:eastAsia="uz-Cyrl-UZ"/>
              </w:rPr>
            </w:pPr>
            <w:r w:rsidRPr="008B1E46">
              <w:rPr>
                <w:sz w:val="28"/>
                <w:szCs w:val="28"/>
                <w:lang w:eastAsia="uz-Cyrl-UZ"/>
              </w:rPr>
              <w:t>Себестоимость</w:t>
            </w:r>
          </w:p>
          <w:p w:rsidR="00E13709" w:rsidRPr="008B1E46" w:rsidRDefault="0016770B" w:rsidP="00F9496A">
            <w:pPr>
              <w:jc w:val="both"/>
              <w:rPr>
                <w:sz w:val="28"/>
                <w:szCs w:val="28"/>
                <w:lang w:eastAsia="uz-Cyrl-UZ"/>
              </w:rPr>
            </w:pPr>
            <w:r>
              <w:rPr>
                <w:sz w:val="28"/>
                <w:szCs w:val="28"/>
                <w:lang w:eastAsia="uz-Cyrl-UZ"/>
              </w:rPr>
              <w:t xml:space="preserve">перевозок, </w:t>
            </w:r>
            <w:proofErr w:type="spellStart"/>
            <w:r>
              <w:rPr>
                <w:sz w:val="28"/>
                <w:szCs w:val="28"/>
                <w:lang w:eastAsia="uz-Cyrl-UZ"/>
              </w:rPr>
              <w:t>сум</w:t>
            </w:r>
            <w:proofErr w:type="spellEnd"/>
            <w:r w:rsidR="00E13709" w:rsidRPr="008B1E46">
              <w:rPr>
                <w:sz w:val="28"/>
                <w:szCs w:val="28"/>
                <w:lang w:eastAsia="uz-Cyrl-UZ"/>
              </w:rPr>
              <w:t>/час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uz-Cyrl-UZ"/>
              </w:rPr>
            </w:pPr>
            <w:r w:rsidRPr="008B1E46">
              <w:rPr>
                <w:sz w:val="28"/>
                <w:szCs w:val="28"/>
                <w:lang w:eastAsia="uz-Cyrl-UZ"/>
              </w:rPr>
              <w:t>Оценка выбора</w:t>
            </w:r>
          </w:p>
        </w:tc>
      </w:tr>
      <w:tr w:rsidR="00E13709" w:rsidRPr="008B1E46" w:rsidTr="000A54A9">
        <w:trPr>
          <w:trHeight w:val="1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</w:tr>
      <w:tr w:rsidR="00E13709" w:rsidRPr="008B1E46" w:rsidTr="000A54A9">
        <w:trPr>
          <w:trHeight w:val="27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E13709" w:rsidRPr="008B1E46" w:rsidRDefault="00E13709" w:rsidP="00F9496A">
            <w:pPr>
              <w:rPr>
                <w:sz w:val="28"/>
                <w:szCs w:val="28"/>
                <w:lang w:eastAsia="uz-Cyrl-UZ"/>
              </w:rPr>
            </w:pPr>
          </w:p>
        </w:tc>
      </w:tr>
    </w:tbl>
    <w:p w:rsidR="001A082B" w:rsidRDefault="001A082B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</w:p>
    <w:p w:rsidR="00382993" w:rsidRPr="008B1E46" w:rsidRDefault="00243E5D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  <w:r w:rsidRPr="008B1E46">
        <w:rPr>
          <w:color w:val="111111"/>
          <w:sz w:val="28"/>
          <w:szCs w:val="28"/>
          <w:lang w:eastAsia="uz-Cyrl-UZ"/>
        </w:rPr>
        <w:t>Список автомобилей сортируется по увеличению себестоимости перевозок. Данна</w:t>
      </w:r>
      <w:r w:rsidR="00E13709" w:rsidRPr="008B1E46">
        <w:rPr>
          <w:color w:val="111111"/>
          <w:sz w:val="28"/>
          <w:szCs w:val="28"/>
          <w:lang w:eastAsia="uz-Cyrl-UZ"/>
        </w:rPr>
        <w:t xml:space="preserve">я сортировка показывает список </w:t>
      </w:r>
      <w:r w:rsidRPr="008B1E46">
        <w:rPr>
          <w:color w:val="111111"/>
          <w:sz w:val="28"/>
          <w:szCs w:val="28"/>
          <w:lang w:eastAsia="uz-Cyrl-UZ"/>
        </w:rPr>
        <w:t>потенциально пригодных автомобилей, начиная от наиболее эффективного автомобиля и заканчивая наименее эффективным.</w:t>
      </w:r>
    </w:p>
    <w:p w:rsidR="00E13709" w:rsidRPr="008B1E46" w:rsidRDefault="00382993" w:rsidP="00F9496A">
      <w:pPr>
        <w:shd w:val="clear" w:color="auto" w:fill="FFFFFF" w:themeFill="background1"/>
        <w:ind w:firstLine="708"/>
        <w:jc w:val="both"/>
        <w:rPr>
          <w:color w:val="111111"/>
          <w:sz w:val="28"/>
          <w:szCs w:val="28"/>
          <w:lang w:eastAsia="uz-Cyrl-UZ"/>
        </w:rPr>
      </w:pPr>
      <w:r w:rsidRPr="008B1E46">
        <w:rPr>
          <w:color w:val="111111"/>
          <w:sz w:val="28"/>
          <w:szCs w:val="28"/>
          <w:lang w:eastAsia="uz-Cyrl-UZ"/>
        </w:rPr>
        <w:t>Как видно из предложенной методики выбора подвижного состава, не точность расчетов, или субъективное мнение эксперта может привести не рациональному выбору подвижного состава, который в свою очередь влечет за собой не эффективное использование трудовых и материальных ресурсов АТП. Не эффективность производственной деятельности АТП это угроза ее экономической безопасности.</w:t>
      </w:r>
    </w:p>
    <w:p w:rsidR="00F9496A" w:rsidRDefault="00F9496A" w:rsidP="00F9496A">
      <w:pPr>
        <w:jc w:val="center"/>
        <w:rPr>
          <w:b/>
          <w:sz w:val="28"/>
          <w:szCs w:val="28"/>
        </w:rPr>
      </w:pPr>
    </w:p>
    <w:p w:rsidR="000A54A9" w:rsidRDefault="000A54A9" w:rsidP="00F9496A">
      <w:pPr>
        <w:jc w:val="center"/>
        <w:rPr>
          <w:b/>
          <w:sz w:val="28"/>
          <w:szCs w:val="28"/>
          <w:lang w:val="en-US"/>
        </w:rPr>
      </w:pPr>
      <w:r w:rsidRPr="00121611">
        <w:rPr>
          <w:b/>
          <w:sz w:val="28"/>
          <w:szCs w:val="28"/>
        </w:rPr>
        <w:t>Использованная литература</w:t>
      </w:r>
      <w:r w:rsidRPr="00121611">
        <w:rPr>
          <w:b/>
          <w:sz w:val="28"/>
          <w:szCs w:val="28"/>
          <w:lang w:val="en-US"/>
        </w:rPr>
        <w:t>:</w:t>
      </w:r>
    </w:p>
    <w:p w:rsidR="00065123" w:rsidRPr="00C603F3" w:rsidRDefault="00065123" w:rsidP="00065123">
      <w:pPr>
        <w:pStyle w:val="a3"/>
        <w:numPr>
          <w:ilvl w:val="0"/>
          <w:numId w:val="3"/>
        </w:numPr>
        <w:ind w:left="426"/>
        <w:jc w:val="both"/>
        <w:rPr>
          <w:sz w:val="28"/>
        </w:rPr>
      </w:pPr>
      <w:proofErr w:type="spellStart"/>
      <w:r w:rsidRPr="00C603F3">
        <w:rPr>
          <w:sz w:val="28"/>
        </w:rPr>
        <w:t>Тохиров</w:t>
      </w:r>
      <w:proofErr w:type="spellEnd"/>
      <w:r w:rsidRPr="00C603F3">
        <w:rPr>
          <w:sz w:val="28"/>
        </w:rPr>
        <w:t xml:space="preserve"> Т.И. Выбор подвижного состава как фактор </w:t>
      </w:r>
      <w:proofErr w:type="spellStart"/>
      <w:r w:rsidRPr="00C603F3">
        <w:rPr>
          <w:sz w:val="28"/>
        </w:rPr>
        <w:t>влияюший</w:t>
      </w:r>
      <w:proofErr w:type="spellEnd"/>
      <w:r w:rsidRPr="00C603F3">
        <w:rPr>
          <w:sz w:val="28"/>
        </w:rPr>
        <w:t xml:space="preserve"> на экономическую безопасность автотранспортного предприятия // Экономика и менеджмент инновационных те</w:t>
      </w:r>
      <w:r w:rsidR="00C603F3">
        <w:rPr>
          <w:sz w:val="28"/>
        </w:rPr>
        <w:t>хнологий,</w:t>
      </w:r>
      <w:r w:rsidRPr="00C603F3">
        <w:rPr>
          <w:sz w:val="28"/>
        </w:rPr>
        <w:t xml:space="preserve"> №12</w:t>
      </w:r>
      <w:r w:rsidRPr="00C603F3">
        <w:rPr>
          <w:sz w:val="28"/>
        </w:rPr>
        <w:t xml:space="preserve"> </w:t>
      </w:r>
      <w:r w:rsidRPr="00C603F3">
        <w:rPr>
          <w:sz w:val="28"/>
        </w:rPr>
        <w:t>(2012)</w:t>
      </w:r>
    </w:p>
    <w:p w:rsidR="00065123" w:rsidRPr="00C603F3" w:rsidRDefault="00065123" w:rsidP="00065123">
      <w:pPr>
        <w:pStyle w:val="a3"/>
        <w:numPr>
          <w:ilvl w:val="0"/>
          <w:numId w:val="3"/>
        </w:numPr>
        <w:ind w:left="426"/>
        <w:jc w:val="both"/>
        <w:rPr>
          <w:sz w:val="28"/>
        </w:rPr>
      </w:pPr>
      <w:proofErr w:type="spellStart"/>
      <w:r w:rsidRPr="00C603F3">
        <w:rPr>
          <w:sz w:val="28"/>
        </w:rPr>
        <w:t>Захаров</w:t>
      </w:r>
      <w:r w:rsidRPr="00C603F3">
        <w:rPr>
          <w:sz w:val="28"/>
        </w:rPr>
        <w:t>.</w:t>
      </w:r>
      <w:r w:rsidRPr="00C603F3">
        <w:rPr>
          <w:sz w:val="28"/>
        </w:rPr>
        <w:t>Н.С</w:t>
      </w:r>
      <w:proofErr w:type="spellEnd"/>
      <w:r w:rsidRPr="00C603F3">
        <w:rPr>
          <w:sz w:val="28"/>
        </w:rPr>
        <w:t>.</w:t>
      </w:r>
      <w:r w:rsidRPr="00C603F3">
        <w:rPr>
          <w:sz w:val="28"/>
        </w:rPr>
        <w:t xml:space="preserve">, </w:t>
      </w:r>
      <w:proofErr w:type="spellStart"/>
      <w:r w:rsidRPr="00C603F3">
        <w:rPr>
          <w:sz w:val="28"/>
        </w:rPr>
        <w:t>Ракитин</w:t>
      </w:r>
      <w:r w:rsidRPr="00C603F3">
        <w:rPr>
          <w:sz w:val="28"/>
        </w:rPr>
        <w:t>.</w:t>
      </w:r>
      <w:r w:rsidRPr="00C603F3">
        <w:rPr>
          <w:sz w:val="28"/>
        </w:rPr>
        <w:t>В.А</w:t>
      </w:r>
      <w:proofErr w:type="spellEnd"/>
      <w:r w:rsidRPr="00C603F3">
        <w:rPr>
          <w:sz w:val="28"/>
        </w:rPr>
        <w:t>. Методика формирования парка грузовых автомобилей автотранспортного предприятия в зависимости от назначения и технико-эксплуатационных показателей транспортных средств // Инженерный вестник Дона, №3 (2015)</w:t>
      </w:r>
    </w:p>
    <w:p w:rsidR="00065123" w:rsidRPr="00C603F3" w:rsidRDefault="00065123" w:rsidP="0017542A">
      <w:pPr>
        <w:pStyle w:val="a3"/>
        <w:numPr>
          <w:ilvl w:val="0"/>
          <w:numId w:val="3"/>
        </w:numPr>
        <w:ind w:left="426"/>
        <w:jc w:val="both"/>
        <w:rPr>
          <w:sz w:val="28"/>
        </w:rPr>
      </w:pPr>
      <w:r w:rsidRPr="00C603F3">
        <w:rPr>
          <w:sz w:val="28"/>
        </w:rPr>
        <w:t>Альманах «Узбекистан 2015»</w:t>
      </w:r>
      <w:r w:rsidRPr="00C603F3">
        <w:rPr>
          <w:sz w:val="28"/>
        </w:rPr>
        <w:t xml:space="preserve"> Ц</w:t>
      </w:r>
      <w:r w:rsidR="0017542A" w:rsidRPr="00C603F3">
        <w:rPr>
          <w:sz w:val="28"/>
        </w:rPr>
        <w:t>ентр экономических исследований</w:t>
      </w:r>
      <w:r w:rsidRPr="00C603F3">
        <w:rPr>
          <w:sz w:val="28"/>
        </w:rPr>
        <w:t xml:space="preserve"> 2016</w:t>
      </w:r>
      <w:r w:rsidR="0017542A" w:rsidRPr="00C603F3">
        <w:rPr>
          <w:sz w:val="28"/>
        </w:rPr>
        <w:t xml:space="preserve"> год.</w:t>
      </w:r>
    </w:p>
    <w:p w:rsidR="00065123" w:rsidRPr="00C603F3" w:rsidRDefault="0017542A" w:rsidP="00065123">
      <w:pPr>
        <w:pStyle w:val="a3"/>
        <w:numPr>
          <w:ilvl w:val="0"/>
          <w:numId w:val="3"/>
        </w:numPr>
        <w:ind w:left="426"/>
        <w:jc w:val="both"/>
        <w:rPr>
          <w:sz w:val="28"/>
        </w:rPr>
      </w:pPr>
      <w:r w:rsidRPr="00C603F3">
        <w:rPr>
          <w:sz w:val="28"/>
        </w:rPr>
        <w:t xml:space="preserve">Экономика </w:t>
      </w:r>
      <w:r w:rsidR="00065123" w:rsidRPr="00C603F3">
        <w:rPr>
          <w:sz w:val="28"/>
        </w:rPr>
        <w:t>Узбекистана информационно-аналитический бюллетень за январь-декабрь 2015 года</w:t>
      </w:r>
      <w:r w:rsidR="003D613E">
        <w:rPr>
          <w:sz w:val="28"/>
        </w:rPr>
        <w:t>.</w:t>
      </w:r>
      <w:bookmarkStart w:id="0" w:name="_GoBack"/>
      <w:bookmarkEnd w:id="0"/>
    </w:p>
    <w:p w:rsidR="00382993" w:rsidRPr="00065123" w:rsidRDefault="00382993" w:rsidP="00065123">
      <w:pPr>
        <w:jc w:val="both"/>
      </w:pPr>
    </w:p>
    <w:sectPr w:rsidR="00382993" w:rsidRPr="00065123" w:rsidSect="003E3A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99C"/>
    <w:multiLevelType w:val="hybridMultilevel"/>
    <w:tmpl w:val="1ABC2136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5862"/>
    <w:multiLevelType w:val="hybridMultilevel"/>
    <w:tmpl w:val="5DD8A9D4"/>
    <w:lvl w:ilvl="0" w:tplc="94004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2675"/>
    <w:multiLevelType w:val="hybridMultilevel"/>
    <w:tmpl w:val="E62264A6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4C"/>
    <w:rsid w:val="00065123"/>
    <w:rsid w:val="00080C67"/>
    <w:rsid w:val="000A54A9"/>
    <w:rsid w:val="00125D2A"/>
    <w:rsid w:val="0014069A"/>
    <w:rsid w:val="0016770B"/>
    <w:rsid w:val="0017542A"/>
    <w:rsid w:val="001A082B"/>
    <w:rsid w:val="001D5E47"/>
    <w:rsid w:val="00243E5D"/>
    <w:rsid w:val="0029095F"/>
    <w:rsid w:val="00322C4D"/>
    <w:rsid w:val="00334D55"/>
    <w:rsid w:val="00345EE1"/>
    <w:rsid w:val="00374D2E"/>
    <w:rsid w:val="00382993"/>
    <w:rsid w:val="003D613E"/>
    <w:rsid w:val="003E3AC2"/>
    <w:rsid w:val="00454948"/>
    <w:rsid w:val="00484B70"/>
    <w:rsid w:val="004F435B"/>
    <w:rsid w:val="006D108B"/>
    <w:rsid w:val="007636B4"/>
    <w:rsid w:val="008368AB"/>
    <w:rsid w:val="00875398"/>
    <w:rsid w:val="00893598"/>
    <w:rsid w:val="008B1E46"/>
    <w:rsid w:val="00B55D3D"/>
    <w:rsid w:val="00BD4E4C"/>
    <w:rsid w:val="00C603F3"/>
    <w:rsid w:val="00C85BBD"/>
    <w:rsid w:val="00D01517"/>
    <w:rsid w:val="00D72103"/>
    <w:rsid w:val="00E13709"/>
    <w:rsid w:val="00E87382"/>
    <w:rsid w:val="00E96652"/>
    <w:rsid w:val="00ED09F6"/>
    <w:rsid w:val="00F700F5"/>
    <w:rsid w:val="00F7476A"/>
    <w:rsid w:val="00F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CAB77-9D17-4D27-94C2-E2BA345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B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B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ukrullo\Desktop\&#1055;&#1077;&#1088;&#1077;&#1074;&#1086;&#1079;&#1082;&#1080;%20&#1075;&#1088;&#1091;&#1079;&#1086;&#1074;%20&#1080;%20&#1075;&#1088;&#1091;&#1079;&#1086;&#1086;&#1073;&#1086;&#1088;&#1086;&#1090;%20&#1087;&#1086;%20&#1074;&#1080;&#1076;&#1072;&#1084;%20&#1090;&#1088;&#1072;&#1085;&#1089;&#1087;&#1086;&#1088;&#1090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>
        <c:manualLayout>
          <c:xMode val="edge"/>
          <c:yMode val="edge"/>
          <c:x val="0.43879230669936747"/>
          <c:y val="3.870967741935484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uz-Cyrl-UZ"/>
        </a:p>
      </c:txPr>
    </c:title>
    <c:autoTitleDeleted val="0"/>
    <c:plotArea>
      <c:layout>
        <c:manualLayout>
          <c:layoutTarget val="inner"/>
          <c:xMode val="edge"/>
          <c:yMode val="edge"/>
          <c:x val="1.365334140924692E-2"/>
          <c:y val="0.10568681578830656"/>
          <c:w val="0.92161579042937036"/>
          <c:h val="0.832290599820006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макеты!$A$5</c:f>
              <c:strCache>
                <c:ptCount val="1"/>
              </c:strCache>
            </c:strRef>
          </c:tx>
          <c:spPr>
            <a:solidFill>
              <a:srgbClr val="C7BF59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z-Cyrl-U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макеты!$B$4:$Q$4</c:f>
              <c:strCache>
                <c:ptCount val="16"/>
                <c:pt idx="0">
                  <c:v>2000 г.</c:v>
                </c:pt>
                <c:pt idx="1">
                  <c:v>2001 г.</c:v>
                </c:pt>
                <c:pt idx="2">
                  <c:v>2002 г.</c:v>
                </c:pt>
                <c:pt idx="3">
                  <c:v>2003 г.</c:v>
                </c:pt>
                <c:pt idx="4">
                  <c:v>2004 г.</c:v>
                </c:pt>
                <c:pt idx="5">
                  <c:v>2005 г.</c:v>
                </c:pt>
                <c:pt idx="6">
                  <c:v>2006 г.</c:v>
                </c:pt>
                <c:pt idx="7">
                  <c:v>2007 г.</c:v>
                </c:pt>
                <c:pt idx="8">
                  <c:v>2008 г.</c:v>
                </c:pt>
                <c:pt idx="9">
                  <c:v>2009 г.</c:v>
                </c:pt>
                <c:pt idx="10">
                  <c:v>2010 г.</c:v>
                </c:pt>
                <c:pt idx="11">
                  <c:v>2011 г.</c:v>
                </c:pt>
                <c:pt idx="12">
                  <c:v>2012 г.</c:v>
                </c:pt>
                <c:pt idx="13">
                  <c:v>2013 г.</c:v>
                </c:pt>
                <c:pt idx="14">
                  <c:v>2014 г.</c:v>
                </c:pt>
                <c:pt idx="15">
                  <c:v>2015 г.</c:v>
                </c:pt>
              </c:strCache>
            </c:strRef>
          </c:cat>
          <c:val>
            <c:numRef>
              <c:f>макеты!$B$5:$Q$5</c:f>
              <c:numCache>
                <c:formatCode>0.0</c:formatCode>
                <c:ptCount val="16"/>
                <c:pt idx="0">
                  <c:v>8.9</c:v>
                </c:pt>
                <c:pt idx="1">
                  <c:v>8.6999999999999993</c:v>
                </c:pt>
                <c:pt idx="2">
                  <c:v>9</c:v>
                </c:pt>
                <c:pt idx="3">
                  <c:v>9.6</c:v>
                </c:pt>
                <c:pt idx="4">
                  <c:v>11</c:v>
                </c:pt>
                <c:pt idx="5">
                  <c:v>13.8</c:v>
                </c:pt>
                <c:pt idx="6">
                  <c:v>16</c:v>
                </c:pt>
                <c:pt idx="7">
                  <c:v>18.100000000000001</c:v>
                </c:pt>
                <c:pt idx="8">
                  <c:v>21</c:v>
                </c:pt>
                <c:pt idx="9">
                  <c:v>23.2</c:v>
                </c:pt>
                <c:pt idx="10">
                  <c:v>24.5</c:v>
                </c:pt>
                <c:pt idx="11">
                  <c:v>26.1</c:v>
                </c:pt>
                <c:pt idx="12">
                  <c:v>27.5</c:v>
                </c:pt>
                <c:pt idx="13" formatCode="General">
                  <c:v>29.2</c:v>
                </c:pt>
                <c:pt idx="14">
                  <c:v>31.5</c:v>
                </c:pt>
                <c:pt idx="15">
                  <c:v>33.9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43889376"/>
        <c:axId val="343890496"/>
      </c:barChart>
      <c:catAx>
        <c:axId val="34388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z-Cyrl-UZ"/>
          </a:p>
        </c:txPr>
        <c:crossAx val="343890496"/>
        <c:crosses val="autoZero"/>
        <c:auto val="1"/>
        <c:lblAlgn val="ctr"/>
        <c:lblOffset val="100"/>
        <c:noMultiLvlLbl val="0"/>
      </c:catAx>
      <c:valAx>
        <c:axId val="34389049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4388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z-Cyrl-U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6.31437E-7</cdr:y>
    </cdr:from>
    <cdr:to>
      <cdr:x>1</cdr:x>
      <cdr:y>0.09032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"/>
          <a:ext cx="5581015" cy="14303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FDC1-0E39-4E4A-8103-DE2D99D8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Shukrullo</cp:lastModifiedBy>
  <cp:revision>10</cp:revision>
  <cp:lastPrinted>2016-11-16T11:14:00Z</cp:lastPrinted>
  <dcterms:created xsi:type="dcterms:W3CDTF">2016-11-10T11:38:00Z</dcterms:created>
  <dcterms:modified xsi:type="dcterms:W3CDTF">2016-11-16T11:21:00Z</dcterms:modified>
</cp:coreProperties>
</file>