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D0" w:rsidRPr="00A838FB" w:rsidRDefault="00E855D0" w:rsidP="00E855D0">
      <w:pPr>
        <w:pStyle w:val="2"/>
        <w:rPr>
          <w:rFonts w:eastAsia="Arial"/>
          <w:lang w:val="uz-Cyrl-UZ"/>
        </w:rPr>
      </w:pPr>
      <w:bookmarkStart w:id="0" w:name="_Toc482812382"/>
      <w:r w:rsidRPr="00A838FB">
        <w:rPr>
          <w:rFonts w:eastAsia="Arial"/>
        </w:rPr>
        <w:t>Факторы влияющие на выбор месторасположения складов</w:t>
      </w:r>
      <w:bookmarkEnd w:id="0"/>
    </w:p>
    <w:p w:rsidR="00E855D0" w:rsidRPr="00A838FB" w:rsidRDefault="00E855D0" w:rsidP="00E855D0">
      <w:pPr>
        <w:pStyle w:val="2"/>
        <w:rPr>
          <w:shd w:val="clear" w:color="auto" w:fill="FFFFFF"/>
        </w:rPr>
      </w:pPr>
      <w:bookmarkStart w:id="1" w:name="_Toc482812383"/>
      <w:r w:rsidRPr="00A838FB">
        <w:rPr>
          <w:shd w:val="clear" w:color="auto" w:fill="FFFFFF"/>
          <w:lang w:val="uz-Cyrl-UZ"/>
        </w:rPr>
        <w:t>Ражабов Ф</w:t>
      </w:r>
      <w:r w:rsidRPr="00A838FB">
        <w:rPr>
          <w:shd w:val="clear" w:color="auto" w:fill="FFFFFF"/>
        </w:rPr>
        <w:t>.</w:t>
      </w:r>
      <w:r w:rsidRPr="00A838FB">
        <w:rPr>
          <w:shd w:val="clear" w:color="auto" w:fill="FFFFFF"/>
          <w:lang w:val="uz-Cyrl-UZ"/>
        </w:rPr>
        <w:t>Ш.</w:t>
      </w:r>
      <w:r w:rsidRPr="00A838FB">
        <w:rPr>
          <w:shd w:val="clear" w:color="auto" w:fill="FFFFFF"/>
        </w:rPr>
        <w:t xml:space="preserve"> (магистрант)</w:t>
      </w:r>
      <w:bookmarkEnd w:id="1"/>
      <w:r w:rsidRPr="00A838FB">
        <w:rPr>
          <w:shd w:val="clear" w:color="auto" w:fill="FFFFFF"/>
        </w:rPr>
        <w:t xml:space="preserve">  </w:t>
      </w:r>
    </w:p>
    <w:p w:rsidR="00E855D0" w:rsidRPr="00A838FB" w:rsidRDefault="00E855D0" w:rsidP="00E855D0">
      <w:pPr>
        <w:pStyle w:val="2"/>
        <w:rPr>
          <w:shd w:val="clear" w:color="auto" w:fill="FFFFFF"/>
          <w:lang w:val="uz-Cyrl-UZ"/>
        </w:rPr>
      </w:pPr>
      <w:bookmarkStart w:id="2" w:name="_Toc482812384"/>
      <w:r w:rsidRPr="00A838FB">
        <w:rPr>
          <w:shd w:val="clear" w:color="auto" w:fill="FFFFFF"/>
        </w:rPr>
        <w:t xml:space="preserve">Научный руководитель </w:t>
      </w:r>
      <w:r w:rsidRPr="00A838FB">
        <w:rPr>
          <w:shd w:val="clear" w:color="auto" w:fill="FFFFFF"/>
          <w:lang w:val="uz-Cyrl-UZ"/>
        </w:rPr>
        <w:t>проф</w:t>
      </w:r>
      <w:r w:rsidRPr="00A838FB">
        <w:rPr>
          <w:shd w:val="clear" w:color="auto" w:fill="FFFFFF"/>
        </w:rPr>
        <w:t xml:space="preserve">. </w:t>
      </w:r>
      <w:r w:rsidRPr="00A838FB">
        <w:rPr>
          <w:shd w:val="clear" w:color="auto" w:fill="FFFFFF"/>
          <w:lang w:val="uz-Cyrl-UZ"/>
        </w:rPr>
        <w:t>Саматов Г.А.</w:t>
      </w:r>
      <w:bookmarkEnd w:id="2"/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>Одна из основных задач логиста состоит в том, чтобы обеспечить оптимальное функционирование логистической инфраструктуры. Применительно к складу это означает управление товарными потоками таким образом, чтобы обеспечить согласование характеристик выходящего потока  с входящим потоком  при оптимизации всех имеющихся на складе ресурсов: складских мощностей, технических средств, складского персонала и т.п. Реализация этой задачи требует от службы логистики в первую очередь умения планировать товарные потоки.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 xml:space="preserve">Этот алгоритм  отражает </w:t>
      </w:r>
      <w:proofErr w:type="spellStart"/>
      <w:proofErr w:type="gramStart"/>
      <w:r w:rsidRPr="00A838FB">
        <w:rPr>
          <w:szCs w:val="28"/>
        </w:rPr>
        <w:t>последова</w:t>
      </w:r>
      <w:r w:rsidRPr="00A838FB">
        <w:rPr>
          <w:rFonts w:eastAsia="Times New Roman"/>
          <w:szCs w:val="28"/>
        </w:rPr>
        <w:t>-</w:t>
      </w:r>
      <w:r w:rsidRPr="00A838FB">
        <w:rPr>
          <w:szCs w:val="28"/>
        </w:rPr>
        <w:t>тельность</w:t>
      </w:r>
      <w:proofErr w:type="spellEnd"/>
      <w:proofErr w:type="gramEnd"/>
      <w:r w:rsidRPr="00A838FB">
        <w:rPr>
          <w:szCs w:val="28"/>
        </w:rPr>
        <w:t xml:space="preserve"> решения проблемы формирования складской сети, кото</w:t>
      </w:r>
      <w:r w:rsidRPr="00A838FB">
        <w:rPr>
          <w:rFonts w:eastAsia="Times New Roman"/>
          <w:szCs w:val="28"/>
        </w:rPr>
        <w:t>-</w:t>
      </w:r>
      <w:proofErr w:type="spellStart"/>
      <w:r w:rsidRPr="00A838FB">
        <w:rPr>
          <w:szCs w:val="28"/>
        </w:rPr>
        <w:t>рую</w:t>
      </w:r>
      <w:proofErr w:type="spellEnd"/>
      <w:r w:rsidRPr="00A838FB">
        <w:rPr>
          <w:szCs w:val="28"/>
        </w:rPr>
        <w:t xml:space="preserve"> используют предприятия для достижения эффективного </w:t>
      </w:r>
      <w:proofErr w:type="spellStart"/>
      <w:r w:rsidRPr="00A838FB">
        <w:rPr>
          <w:szCs w:val="28"/>
        </w:rPr>
        <w:t>функ</w:t>
      </w:r>
      <w:r w:rsidRPr="00A838FB">
        <w:rPr>
          <w:rFonts w:eastAsia="Times New Roman"/>
          <w:szCs w:val="28"/>
        </w:rPr>
        <w:t>-</w:t>
      </w:r>
      <w:r w:rsidRPr="00A838FB">
        <w:rPr>
          <w:szCs w:val="28"/>
        </w:rPr>
        <w:t>ционирования</w:t>
      </w:r>
      <w:proofErr w:type="spellEnd"/>
      <w:r w:rsidRPr="00A838FB">
        <w:rPr>
          <w:szCs w:val="28"/>
        </w:rPr>
        <w:t xml:space="preserve"> на рынке.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>При формировании складской сети необходимо учитывать: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место в логистической системе;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bookmarkStart w:id="3" w:name="page169"/>
      <w:bookmarkEnd w:id="3"/>
      <w:r w:rsidRPr="00A838FB">
        <w:rPr>
          <w:szCs w:val="28"/>
        </w:rPr>
        <w:t>цели, задачи и функции предприятия вид и характеристики материального потока;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территориальное расположение складской сети;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взаимосвязи c внешней средой поставщиков и потребителей;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характеристики используемых транспортных средств;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состояние инфраструктуры сети;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материально-техническую базу предприятия;</w:t>
      </w:r>
    </w:p>
    <w:p w:rsidR="00E855D0" w:rsidRPr="00A838FB" w:rsidRDefault="00E855D0" w:rsidP="00E855D0">
      <w:pPr>
        <w:numPr>
          <w:ilvl w:val="0"/>
          <w:numId w:val="1"/>
        </w:numPr>
        <w:rPr>
          <w:rFonts w:eastAsia="Symbol"/>
          <w:szCs w:val="28"/>
        </w:rPr>
      </w:pPr>
      <w:r w:rsidRPr="00A838FB">
        <w:rPr>
          <w:szCs w:val="28"/>
        </w:rPr>
        <w:t>наличия информационной связи внутри складской сети.</w:t>
      </w:r>
    </w:p>
    <w:p w:rsidR="00E855D0" w:rsidRPr="00A838FB" w:rsidRDefault="00E855D0" w:rsidP="00E855D0">
      <w:pPr>
        <w:numPr>
          <w:ilvl w:val="0"/>
          <w:numId w:val="1"/>
        </w:numPr>
        <w:rPr>
          <w:szCs w:val="28"/>
        </w:rPr>
      </w:pPr>
      <w:r w:rsidRPr="00A838FB">
        <w:rPr>
          <w:szCs w:val="28"/>
        </w:rPr>
        <w:t xml:space="preserve">Стратегия складирования запасов (или определение формы собственности склада) за последние годы во многом поменяла свои приоритеты. </w:t>
      </w:r>
    </w:p>
    <w:p w:rsidR="00E855D0" w:rsidRPr="00A838FB" w:rsidRDefault="00E855D0" w:rsidP="00E855D0">
      <w:pPr>
        <w:numPr>
          <w:ilvl w:val="0"/>
          <w:numId w:val="1"/>
        </w:numPr>
        <w:rPr>
          <w:szCs w:val="28"/>
        </w:rPr>
      </w:pPr>
      <w:r w:rsidRPr="00A838FB">
        <w:rPr>
          <w:szCs w:val="28"/>
        </w:rPr>
        <w:t xml:space="preserve">Рассматривая варианты стратегий складирования запасов применительно к функционированию складов в различных функциональных областях логистики, следует сразу отметить, что </w:t>
      </w:r>
      <w:r w:rsidRPr="00A838FB">
        <w:rPr>
          <w:i/>
          <w:szCs w:val="28"/>
        </w:rPr>
        <w:t>склады</w:t>
      </w:r>
      <w:r w:rsidRPr="00A838FB">
        <w:rPr>
          <w:szCs w:val="28"/>
        </w:rPr>
        <w:t xml:space="preserve"> </w:t>
      </w:r>
      <w:r w:rsidRPr="00A838FB">
        <w:rPr>
          <w:i/>
          <w:szCs w:val="28"/>
        </w:rPr>
        <w:t xml:space="preserve">производственной логистики — </w:t>
      </w:r>
      <w:r w:rsidRPr="00A838FB">
        <w:rPr>
          <w:szCs w:val="28"/>
        </w:rPr>
        <w:t>склады промежуточной продукции,</w:t>
      </w:r>
    </w:p>
    <w:p w:rsidR="00E855D0" w:rsidRPr="00A838FB" w:rsidRDefault="00E855D0" w:rsidP="00E855D0">
      <w:pPr>
        <w:numPr>
          <w:ilvl w:val="0"/>
          <w:numId w:val="1"/>
        </w:numPr>
        <w:rPr>
          <w:szCs w:val="28"/>
        </w:rPr>
      </w:pPr>
      <w:r w:rsidRPr="00A838FB">
        <w:rPr>
          <w:szCs w:val="28"/>
        </w:rPr>
        <w:t xml:space="preserve">Необходимо научиться сравнивать различные стратегии складирования запасов и выбирать оптимальный для себя вариант. Но выбор может быть весьма нестандартным. 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ab/>
        <w:t xml:space="preserve">На этапе предварительной оценки конкурентоспособности </w:t>
      </w:r>
      <w:proofErr w:type="spellStart"/>
      <w:proofErr w:type="gramStart"/>
      <w:r w:rsidRPr="00A838FB">
        <w:rPr>
          <w:szCs w:val="28"/>
        </w:rPr>
        <w:t>каж</w:t>
      </w:r>
      <w:r w:rsidRPr="00A838FB">
        <w:rPr>
          <w:rFonts w:eastAsia="Times New Roman"/>
          <w:szCs w:val="28"/>
        </w:rPr>
        <w:t>-</w:t>
      </w:r>
      <w:r w:rsidRPr="00A838FB">
        <w:rPr>
          <w:szCs w:val="28"/>
        </w:rPr>
        <w:t>дого</w:t>
      </w:r>
      <w:proofErr w:type="spellEnd"/>
      <w:proofErr w:type="gramEnd"/>
      <w:r w:rsidRPr="00A838FB">
        <w:rPr>
          <w:szCs w:val="28"/>
        </w:rPr>
        <w:t xml:space="preserve"> варианта стратегий (до проведения экономических расчетов) логисты должны оценить их организационные, управленческие, коммерческие и логистические преимущества.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 xml:space="preserve">Таким образом, решение задачи </w:t>
      </w:r>
      <w:r w:rsidRPr="00A838FB">
        <w:rPr>
          <w:i/>
          <w:szCs w:val="28"/>
        </w:rPr>
        <w:t>определения числа</w:t>
      </w:r>
      <w:r w:rsidRPr="00A838FB">
        <w:rPr>
          <w:szCs w:val="28"/>
        </w:rPr>
        <w:t xml:space="preserve"> складов в </w:t>
      </w:r>
      <w:proofErr w:type="gramStart"/>
      <w:r w:rsidRPr="00A838FB">
        <w:rPr>
          <w:szCs w:val="28"/>
        </w:rPr>
        <w:t>склад</w:t>
      </w:r>
      <w:r w:rsidRPr="00A838FB">
        <w:rPr>
          <w:rFonts w:eastAsia="Times New Roman"/>
          <w:szCs w:val="28"/>
        </w:rPr>
        <w:t>-</w:t>
      </w:r>
      <w:proofErr w:type="spellStart"/>
      <w:r w:rsidRPr="00A838FB">
        <w:rPr>
          <w:szCs w:val="28"/>
        </w:rPr>
        <w:t>ской</w:t>
      </w:r>
      <w:proofErr w:type="spellEnd"/>
      <w:proofErr w:type="gramEnd"/>
      <w:r w:rsidRPr="00A838FB">
        <w:rPr>
          <w:szCs w:val="28"/>
        </w:rPr>
        <w:t xml:space="preserve"> сети можно представить в следующей последовательности:</w:t>
      </w:r>
    </w:p>
    <w:p w:rsidR="00E855D0" w:rsidRPr="00A838FB" w:rsidRDefault="00E855D0" w:rsidP="00E855D0">
      <w:pPr>
        <w:numPr>
          <w:ilvl w:val="0"/>
          <w:numId w:val="2"/>
        </w:numPr>
        <w:rPr>
          <w:rFonts w:eastAsia="Symbol"/>
          <w:szCs w:val="28"/>
        </w:rPr>
      </w:pPr>
      <w:r w:rsidRPr="00A838FB">
        <w:rPr>
          <w:szCs w:val="28"/>
        </w:rPr>
        <w:t>установление размера партии поставки каждому клиенту в сутки;</w:t>
      </w:r>
    </w:p>
    <w:p w:rsidR="00E855D0" w:rsidRPr="00A838FB" w:rsidRDefault="00E855D0" w:rsidP="00E855D0">
      <w:pPr>
        <w:numPr>
          <w:ilvl w:val="0"/>
          <w:numId w:val="2"/>
        </w:numPr>
        <w:rPr>
          <w:rFonts w:eastAsia="Symbol"/>
          <w:szCs w:val="28"/>
        </w:rPr>
      </w:pPr>
      <w:r w:rsidRPr="00A838FB">
        <w:rPr>
          <w:szCs w:val="28"/>
        </w:rPr>
        <w:t>расчет периодичности поставки (частота и ритмичность);</w:t>
      </w:r>
    </w:p>
    <w:p w:rsidR="00E855D0" w:rsidRPr="00A838FB" w:rsidRDefault="00E855D0" w:rsidP="00E855D0">
      <w:pPr>
        <w:numPr>
          <w:ilvl w:val="0"/>
          <w:numId w:val="2"/>
        </w:numPr>
        <w:rPr>
          <w:rFonts w:eastAsia="Symbol"/>
          <w:szCs w:val="28"/>
        </w:rPr>
      </w:pPr>
      <w:r w:rsidRPr="00A838FB">
        <w:rPr>
          <w:szCs w:val="28"/>
        </w:rPr>
        <w:lastRenderedPageBreak/>
        <w:t xml:space="preserve">определение плотности клиентской базы в регионе </w:t>
      </w:r>
      <w:proofErr w:type="gramStart"/>
      <w:r w:rsidRPr="00A838FB">
        <w:rPr>
          <w:szCs w:val="28"/>
        </w:rPr>
        <w:t>обслужи</w:t>
      </w:r>
      <w:r w:rsidRPr="00A838FB">
        <w:rPr>
          <w:rFonts w:eastAsia="Times New Roman"/>
          <w:szCs w:val="28"/>
        </w:rPr>
        <w:t>-</w:t>
      </w:r>
      <w:proofErr w:type="spellStart"/>
      <w:r w:rsidRPr="00A838FB">
        <w:rPr>
          <w:szCs w:val="28"/>
        </w:rPr>
        <w:t>вания</w:t>
      </w:r>
      <w:proofErr w:type="spellEnd"/>
      <w:proofErr w:type="gramEnd"/>
      <w:r w:rsidRPr="00A838FB">
        <w:rPr>
          <w:szCs w:val="28"/>
        </w:rPr>
        <w:t>;</w:t>
      </w:r>
    </w:p>
    <w:p w:rsidR="00E855D0" w:rsidRPr="00A838FB" w:rsidRDefault="00E855D0" w:rsidP="00E855D0">
      <w:pPr>
        <w:numPr>
          <w:ilvl w:val="0"/>
          <w:numId w:val="2"/>
        </w:numPr>
        <w:rPr>
          <w:rFonts w:eastAsia="Symbol"/>
          <w:szCs w:val="28"/>
        </w:rPr>
      </w:pPr>
      <w:r w:rsidRPr="00A838FB">
        <w:rPr>
          <w:szCs w:val="28"/>
        </w:rPr>
        <w:t>расчет среднего уровня товарных запасов (в днях) и среднюю частоту поставки на выделенном сегменте рынка;</w:t>
      </w:r>
    </w:p>
    <w:p w:rsidR="00E855D0" w:rsidRPr="00A838FB" w:rsidRDefault="00E855D0" w:rsidP="00E855D0">
      <w:pPr>
        <w:numPr>
          <w:ilvl w:val="0"/>
          <w:numId w:val="2"/>
        </w:numPr>
        <w:rPr>
          <w:rFonts w:eastAsia="Symbol"/>
          <w:szCs w:val="28"/>
        </w:rPr>
      </w:pPr>
      <w:r w:rsidRPr="00A838FB">
        <w:rPr>
          <w:szCs w:val="28"/>
        </w:rPr>
        <w:t xml:space="preserve">расчет потребности складской площади для размещения </w:t>
      </w:r>
      <w:proofErr w:type="gramStart"/>
      <w:r w:rsidRPr="00A838FB">
        <w:rPr>
          <w:szCs w:val="28"/>
        </w:rPr>
        <w:t>оп</w:t>
      </w:r>
      <w:r w:rsidRPr="00A838FB">
        <w:rPr>
          <w:rFonts w:eastAsia="Times New Roman"/>
          <w:szCs w:val="28"/>
        </w:rPr>
        <w:t>-</w:t>
      </w:r>
      <w:proofErr w:type="spellStart"/>
      <w:r w:rsidRPr="00A838FB">
        <w:rPr>
          <w:szCs w:val="28"/>
        </w:rPr>
        <w:t>ределенного</w:t>
      </w:r>
      <w:proofErr w:type="spellEnd"/>
      <w:proofErr w:type="gramEnd"/>
      <w:r w:rsidRPr="00A838FB">
        <w:rPr>
          <w:szCs w:val="28"/>
        </w:rPr>
        <w:t xml:space="preserve"> уровня товарных запасов;</w:t>
      </w:r>
    </w:p>
    <w:p w:rsidR="00E855D0" w:rsidRPr="00A838FB" w:rsidRDefault="00E855D0" w:rsidP="00E855D0">
      <w:pPr>
        <w:numPr>
          <w:ilvl w:val="0"/>
          <w:numId w:val="2"/>
        </w:numPr>
        <w:rPr>
          <w:szCs w:val="28"/>
        </w:rPr>
      </w:pPr>
      <w:r w:rsidRPr="00A838FB">
        <w:rPr>
          <w:szCs w:val="28"/>
        </w:rPr>
        <w:t>анализ всех логистических затрат (в соответствии с графиком) и возможной вариацией складов на выделенном сегменте рынка;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>Определение местоположения склада. Проблема определения местоположения каждого склада неразрывно связана с решением вопросов определения числа складов и размещения складской сети.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</w:rPr>
        <w:t>Для складов производственной логистики решение данной проблемы упрощается тем, что размещение этих складов ведется на основных производственных площадях самой фирмы, а поэтому остается решить лишь вопрос размера склада. Гораздо сложнее обстоит дело для складов снабженческой и распределительной логистики в связи с увеличением числа потребителей складских услуг и географической разбросанностью клиентов фирмы.</w:t>
      </w:r>
    </w:p>
    <w:tbl>
      <w:tblPr>
        <w:tblW w:w="93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5439"/>
      </w:tblGrid>
      <w:tr w:rsidR="00E855D0" w:rsidRPr="00A838FB" w:rsidTr="00461259">
        <w:trPr>
          <w:trHeight w:val="227"/>
        </w:trPr>
        <w:tc>
          <w:tcPr>
            <w:tcW w:w="9355" w:type="dxa"/>
            <w:gridSpan w:val="2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jc w:val="center"/>
              <w:rPr>
                <w:b/>
                <w:szCs w:val="28"/>
              </w:rPr>
            </w:pPr>
            <w:r w:rsidRPr="00A838FB">
              <w:rPr>
                <w:b/>
                <w:szCs w:val="28"/>
              </w:rPr>
              <w:t>Таблица 1. Факторы, влияющие на выбор местоположения склада</w:t>
            </w:r>
          </w:p>
        </w:tc>
      </w:tr>
      <w:tr w:rsidR="00E855D0" w:rsidRPr="00A838FB" w:rsidTr="00461259">
        <w:trPr>
          <w:trHeight w:hRule="exact" w:val="922"/>
        </w:trPr>
        <w:tc>
          <w:tcPr>
            <w:tcW w:w="3916" w:type="dxa"/>
            <w:shd w:val="clear" w:color="auto" w:fill="auto"/>
            <w:vAlign w:val="center"/>
          </w:tcPr>
          <w:p w:rsidR="00E855D0" w:rsidRPr="00A838FB" w:rsidRDefault="00E855D0" w:rsidP="00461259">
            <w:pPr>
              <w:ind w:firstLine="0"/>
              <w:jc w:val="center"/>
              <w:rPr>
                <w:b/>
                <w:szCs w:val="28"/>
              </w:rPr>
            </w:pPr>
            <w:r w:rsidRPr="00A838FB">
              <w:rPr>
                <w:b/>
                <w:szCs w:val="28"/>
              </w:rPr>
              <w:t>Факторы, влияющие на выбор региона</w:t>
            </w:r>
          </w:p>
        </w:tc>
        <w:tc>
          <w:tcPr>
            <w:tcW w:w="5439" w:type="dxa"/>
            <w:shd w:val="clear" w:color="auto" w:fill="auto"/>
            <w:vAlign w:val="center"/>
          </w:tcPr>
          <w:p w:rsidR="00E855D0" w:rsidRPr="00A838FB" w:rsidRDefault="00E855D0" w:rsidP="00461259">
            <w:pPr>
              <w:tabs>
                <w:tab w:val="left" w:pos="4589"/>
              </w:tabs>
              <w:ind w:firstLine="0"/>
              <w:jc w:val="center"/>
              <w:rPr>
                <w:rFonts w:eastAsia="Times New Roman"/>
                <w:b/>
                <w:szCs w:val="28"/>
              </w:rPr>
            </w:pPr>
            <w:r w:rsidRPr="00A838FB">
              <w:rPr>
                <w:b/>
                <w:szCs w:val="28"/>
              </w:rPr>
              <w:t xml:space="preserve">Показатели при выборе конкретного </w:t>
            </w:r>
            <w:proofErr w:type="spellStart"/>
            <w:r w:rsidRPr="00A838FB">
              <w:rPr>
                <w:b/>
                <w:szCs w:val="28"/>
              </w:rPr>
              <w:t>местосположения</w:t>
            </w:r>
            <w:proofErr w:type="spellEnd"/>
            <w:r w:rsidRPr="00A838FB">
              <w:rPr>
                <w:b/>
                <w:szCs w:val="28"/>
              </w:rPr>
              <w:t xml:space="preserve"> склада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Близость к рынкам сбыта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Наличие железнодорожного транспорта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Наличие конкурентов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Существующие транспортные коммуникации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Близость к рынкам снабжения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Расстояние до объектов снабжения и сбыта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Уровень жизни населения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rFonts w:eastAsia="Times New Roman"/>
                <w:szCs w:val="28"/>
              </w:rPr>
            </w:pPr>
            <w:r w:rsidRPr="00A838FB">
              <w:rPr>
                <w:szCs w:val="28"/>
              </w:rPr>
              <w:t>Определение принадлежности района застройки (к сельской местности крупному городу — окраина, пригород и т.д.)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Наличие трудовых ресурсов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Стоимость земли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Заработная плата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Водные коммуникации</w:t>
            </w: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 xml:space="preserve">Имеющиеся земельные участки </w:t>
            </w:r>
            <w:proofErr w:type="gramStart"/>
            <w:r w:rsidRPr="00A838FB">
              <w:rPr>
                <w:szCs w:val="28"/>
              </w:rPr>
              <w:t>для</w:t>
            </w:r>
            <w:proofErr w:type="gramEnd"/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Разрешение экологической службы города</w:t>
            </w:r>
          </w:p>
        </w:tc>
      </w:tr>
      <w:tr w:rsidR="00E855D0" w:rsidRPr="00A838FB" w:rsidTr="00461259">
        <w:trPr>
          <w:trHeight w:val="178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удовлетворения потребных мощностей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rFonts w:eastAsia="Times New Roman"/>
                <w:szCs w:val="28"/>
              </w:rPr>
            </w:pPr>
          </w:p>
        </w:tc>
      </w:tr>
      <w:tr w:rsidR="00E855D0" w:rsidRPr="00A838FB" w:rsidTr="00461259">
        <w:trPr>
          <w:trHeight w:val="178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и их стоимость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rFonts w:eastAsia="Times New Roman"/>
                <w:szCs w:val="28"/>
              </w:rPr>
            </w:pP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Транспортные коммуникации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rFonts w:eastAsia="Times New Roman"/>
                <w:szCs w:val="28"/>
              </w:rPr>
            </w:pPr>
          </w:p>
        </w:tc>
      </w:tr>
      <w:tr w:rsidR="00E855D0" w:rsidRPr="00A838FB" w:rsidTr="00461259">
        <w:trPr>
          <w:trHeight w:val="189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Налоги, финансирование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rFonts w:eastAsia="Times New Roman"/>
                <w:szCs w:val="28"/>
              </w:rPr>
            </w:pPr>
          </w:p>
        </w:tc>
      </w:tr>
      <w:tr w:rsidR="00E855D0" w:rsidRPr="00A838FB" w:rsidTr="00461259">
        <w:trPr>
          <w:trHeight w:val="583"/>
        </w:trPr>
        <w:tc>
          <w:tcPr>
            <w:tcW w:w="3916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szCs w:val="28"/>
              </w:rPr>
            </w:pPr>
            <w:r w:rsidRPr="00A838FB">
              <w:rPr>
                <w:szCs w:val="28"/>
              </w:rPr>
              <w:t>Разрешение экологической службы</w:t>
            </w:r>
          </w:p>
        </w:tc>
        <w:tc>
          <w:tcPr>
            <w:tcW w:w="5439" w:type="dxa"/>
            <w:shd w:val="clear" w:color="auto" w:fill="auto"/>
            <w:vAlign w:val="bottom"/>
          </w:tcPr>
          <w:p w:rsidR="00E855D0" w:rsidRPr="00A838FB" w:rsidRDefault="00E855D0" w:rsidP="00461259">
            <w:pPr>
              <w:ind w:firstLine="0"/>
              <w:rPr>
                <w:rFonts w:eastAsia="Times New Roman"/>
                <w:szCs w:val="28"/>
              </w:rPr>
            </w:pPr>
          </w:p>
        </w:tc>
      </w:tr>
    </w:tbl>
    <w:p w:rsidR="00E855D0" w:rsidRPr="00A838FB" w:rsidRDefault="00E855D0" w:rsidP="00E855D0">
      <w:pPr>
        <w:ind w:firstLine="0"/>
        <w:rPr>
          <w:szCs w:val="28"/>
        </w:rPr>
      </w:pPr>
    </w:p>
    <w:p w:rsidR="00E855D0" w:rsidRPr="00A838FB" w:rsidRDefault="00E855D0" w:rsidP="00E855D0">
      <w:pPr>
        <w:ind w:firstLine="426"/>
        <w:rPr>
          <w:szCs w:val="28"/>
        </w:rPr>
      </w:pPr>
      <w:r w:rsidRPr="00A838FB">
        <w:rPr>
          <w:szCs w:val="28"/>
        </w:rPr>
        <w:t>При принятии концептуального решения необходимо учитывать целый ряд факторов, влияющих на выбор месторасположения склада:</w:t>
      </w:r>
    </w:p>
    <w:p w:rsidR="00E855D0" w:rsidRPr="00A838FB" w:rsidRDefault="00E855D0" w:rsidP="00E855D0">
      <w:pPr>
        <w:numPr>
          <w:ilvl w:val="0"/>
          <w:numId w:val="3"/>
        </w:numPr>
        <w:rPr>
          <w:rFonts w:eastAsia="Symbol"/>
          <w:szCs w:val="28"/>
        </w:rPr>
      </w:pPr>
      <w:r w:rsidRPr="00A838FB">
        <w:rPr>
          <w:szCs w:val="28"/>
        </w:rPr>
        <w:t>близость к рынкам сбыта (при снабжении розничной сети);</w:t>
      </w:r>
    </w:p>
    <w:p w:rsidR="00E855D0" w:rsidRPr="00A838FB" w:rsidRDefault="00E855D0" w:rsidP="00E855D0">
      <w:pPr>
        <w:numPr>
          <w:ilvl w:val="0"/>
          <w:numId w:val="3"/>
        </w:numPr>
        <w:rPr>
          <w:rFonts w:eastAsia="Symbol"/>
          <w:szCs w:val="28"/>
        </w:rPr>
      </w:pPr>
      <w:r w:rsidRPr="00A838FB">
        <w:rPr>
          <w:szCs w:val="28"/>
        </w:rPr>
        <w:lastRenderedPageBreak/>
        <w:t xml:space="preserve">наличие конкурентов; близость к рынкам снабжения (при </w:t>
      </w:r>
      <w:proofErr w:type="gramStart"/>
      <w:r w:rsidRPr="00A838FB">
        <w:rPr>
          <w:szCs w:val="28"/>
        </w:rPr>
        <w:t>со</w:t>
      </w:r>
      <w:r w:rsidRPr="00A838FB">
        <w:rPr>
          <w:rFonts w:eastAsia="Times New Roman"/>
          <w:szCs w:val="28"/>
        </w:rPr>
        <w:t>-</w:t>
      </w:r>
      <w:r w:rsidRPr="00A838FB">
        <w:rPr>
          <w:szCs w:val="28"/>
        </w:rPr>
        <w:t>здании</w:t>
      </w:r>
      <w:proofErr w:type="gramEnd"/>
      <w:r w:rsidRPr="00A838FB">
        <w:rPr>
          <w:szCs w:val="28"/>
        </w:rPr>
        <w:t xml:space="preserve"> распределительного центра производителя);</w:t>
      </w:r>
    </w:p>
    <w:p w:rsidR="00E855D0" w:rsidRPr="00A838FB" w:rsidRDefault="00E855D0" w:rsidP="00E855D0">
      <w:pPr>
        <w:numPr>
          <w:ilvl w:val="0"/>
          <w:numId w:val="3"/>
        </w:numPr>
        <w:rPr>
          <w:rFonts w:eastAsia="Symbol"/>
          <w:szCs w:val="28"/>
        </w:rPr>
      </w:pPr>
      <w:r w:rsidRPr="00A838FB">
        <w:rPr>
          <w:szCs w:val="28"/>
        </w:rPr>
        <w:t>уровень жизни и заработная плата населения;</w:t>
      </w:r>
    </w:p>
    <w:p w:rsidR="00E855D0" w:rsidRPr="00A838FB" w:rsidRDefault="00E855D0" w:rsidP="00E855D0">
      <w:pPr>
        <w:numPr>
          <w:ilvl w:val="0"/>
          <w:numId w:val="3"/>
        </w:numPr>
        <w:rPr>
          <w:rFonts w:eastAsia="Symbol"/>
          <w:szCs w:val="28"/>
        </w:rPr>
      </w:pPr>
      <w:r w:rsidRPr="00A838FB">
        <w:rPr>
          <w:szCs w:val="28"/>
        </w:rPr>
        <w:t>наличие коммуникации;</w:t>
      </w:r>
    </w:p>
    <w:p w:rsidR="00E855D0" w:rsidRPr="00A838FB" w:rsidRDefault="00E855D0" w:rsidP="00E855D0">
      <w:pPr>
        <w:numPr>
          <w:ilvl w:val="0"/>
          <w:numId w:val="3"/>
        </w:numPr>
        <w:rPr>
          <w:rFonts w:eastAsia="Symbol"/>
          <w:szCs w:val="28"/>
        </w:rPr>
      </w:pPr>
      <w:r w:rsidRPr="00A838FB">
        <w:rPr>
          <w:szCs w:val="28"/>
        </w:rPr>
        <w:t>разрешение экологической службы.</w:t>
      </w:r>
    </w:p>
    <w:p w:rsidR="00E855D0" w:rsidRPr="00A838FB" w:rsidRDefault="00E855D0" w:rsidP="00E855D0">
      <w:pPr>
        <w:pStyle w:val="a3"/>
        <w:rPr>
          <w:rFonts w:eastAsia="Arial"/>
          <w:szCs w:val="28"/>
        </w:rPr>
      </w:pPr>
      <w:r w:rsidRPr="00A838FB">
        <w:rPr>
          <w:rFonts w:eastAsia="Arial"/>
          <w:szCs w:val="28"/>
        </w:rPr>
        <w:t>Литература: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  <w:lang w:val="uz-Cyrl-UZ"/>
        </w:rPr>
        <w:t>1. В.В.</w:t>
      </w:r>
      <w:proofErr w:type="spellStart"/>
      <w:r w:rsidRPr="00A838FB">
        <w:rPr>
          <w:szCs w:val="28"/>
        </w:rPr>
        <w:t>Дыбская</w:t>
      </w:r>
      <w:proofErr w:type="spellEnd"/>
      <w:r w:rsidRPr="00A838FB">
        <w:rPr>
          <w:szCs w:val="28"/>
        </w:rPr>
        <w:t xml:space="preserve">. и др. Логистика. </w:t>
      </w:r>
      <w:proofErr w:type="spellStart"/>
      <w:r w:rsidRPr="00A838FB">
        <w:rPr>
          <w:szCs w:val="28"/>
        </w:rPr>
        <w:t>Интегрция</w:t>
      </w:r>
      <w:proofErr w:type="spellEnd"/>
      <w:r w:rsidRPr="00A838FB">
        <w:rPr>
          <w:szCs w:val="28"/>
        </w:rPr>
        <w:t xml:space="preserve"> и оптимизация логистических бизнес-процессов в цепях поставок. Полный курс МВА. </w:t>
      </w:r>
      <w:r w:rsidRPr="00A838FB">
        <w:rPr>
          <w:szCs w:val="28"/>
          <w:lang w:val="uz-Cyrl-UZ"/>
        </w:rPr>
        <w:t xml:space="preserve"> </w:t>
      </w:r>
      <w:r w:rsidRPr="00A838FB">
        <w:rPr>
          <w:szCs w:val="28"/>
        </w:rPr>
        <w:t>Москва ЭКСМО-2011.  с.939</w:t>
      </w:r>
    </w:p>
    <w:p w:rsidR="00E855D0" w:rsidRPr="00A838FB" w:rsidRDefault="00E855D0" w:rsidP="00E855D0">
      <w:pPr>
        <w:rPr>
          <w:szCs w:val="28"/>
        </w:rPr>
      </w:pPr>
      <w:r w:rsidRPr="00A838FB">
        <w:rPr>
          <w:szCs w:val="28"/>
          <w:lang w:val="uz-Cyrl-UZ"/>
        </w:rPr>
        <w:t>2. Ғ.А.Саматов., и др.</w:t>
      </w:r>
      <w:r w:rsidRPr="00A838FB">
        <w:rPr>
          <w:szCs w:val="28"/>
        </w:rPr>
        <w:t xml:space="preserve"> Логистик </w:t>
      </w:r>
      <w:r w:rsidRPr="00A838FB">
        <w:rPr>
          <w:szCs w:val="28"/>
          <w:lang w:val="uz-Cyrl-UZ"/>
        </w:rPr>
        <w:t>бошқарув концепциялари ва моделлари. – “Fan</w:t>
      </w:r>
      <w:r w:rsidRPr="00A838FB">
        <w:rPr>
          <w:szCs w:val="28"/>
        </w:rPr>
        <w:t xml:space="preserve"> </w:t>
      </w:r>
      <w:r w:rsidRPr="00A838FB">
        <w:rPr>
          <w:szCs w:val="28"/>
          <w:lang w:val="uz-Cyrl-UZ"/>
        </w:rPr>
        <w:t>va</w:t>
      </w:r>
      <w:r w:rsidRPr="00A838FB">
        <w:rPr>
          <w:szCs w:val="28"/>
        </w:rPr>
        <w:t xml:space="preserve"> </w:t>
      </w:r>
      <w:r w:rsidRPr="00A838FB">
        <w:rPr>
          <w:szCs w:val="28"/>
          <w:lang w:val="uz-Cyrl-UZ"/>
        </w:rPr>
        <w:t>texnologiya”</w:t>
      </w:r>
      <w:r w:rsidRPr="00A838FB">
        <w:rPr>
          <w:szCs w:val="28"/>
        </w:rPr>
        <w:t>,  2015. 232 стр.</w:t>
      </w:r>
      <w:r w:rsidRPr="00A838FB">
        <w:rPr>
          <w:szCs w:val="28"/>
          <w:lang w:val="uz-Cyrl-UZ"/>
        </w:rPr>
        <w:t xml:space="preserve"> </w:t>
      </w:r>
      <w:r w:rsidRPr="00A838FB">
        <w:rPr>
          <w:szCs w:val="28"/>
        </w:rPr>
        <w:t xml:space="preserve"> </w:t>
      </w:r>
    </w:p>
    <w:p w:rsidR="004806FB" w:rsidRDefault="004806FB">
      <w:bookmarkStart w:id="4" w:name="_GoBack"/>
      <w:bookmarkEnd w:id="4"/>
    </w:p>
    <w:sectPr w:rsidR="0048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778"/>
    <w:multiLevelType w:val="hybridMultilevel"/>
    <w:tmpl w:val="5B46DF20"/>
    <w:lvl w:ilvl="0" w:tplc="E2CEAF1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8D1428"/>
    <w:multiLevelType w:val="hybridMultilevel"/>
    <w:tmpl w:val="AC56D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B02856"/>
    <w:multiLevelType w:val="hybridMultilevel"/>
    <w:tmpl w:val="62B67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65"/>
    <w:rsid w:val="004806FB"/>
    <w:rsid w:val="00AC2565"/>
    <w:rsid w:val="00E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55D0"/>
    <w:pPr>
      <w:keepNext/>
      <w:spacing w:before="120" w:after="120"/>
      <w:ind w:left="567" w:right="567"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5D0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paragraph" w:styleId="a3">
    <w:name w:val="Title"/>
    <w:basedOn w:val="a"/>
    <w:next w:val="a"/>
    <w:link w:val="a4"/>
    <w:uiPriority w:val="99"/>
    <w:qFormat/>
    <w:rsid w:val="00E855D0"/>
    <w:pPr>
      <w:spacing w:before="120" w:after="120"/>
      <w:ind w:left="567" w:right="567" w:firstLine="0"/>
      <w:jc w:val="center"/>
      <w:outlineLvl w:val="0"/>
    </w:pPr>
    <w:rPr>
      <w:rFonts w:eastAsia="Times New Roman"/>
      <w:b/>
      <w:bCs/>
      <w:kern w:val="28"/>
      <w:sz w:val="24"/>
      <w:szCs w:val="32"/>
      <w:lang w:val="x-none"/>
    </w:rPr>
  </w:style>
  <w:style w:type="character" w:customStyle="1" w:styleId="a4">
    <w:name w:val="Название Знак"/>
    <w:basedOn w:val="a0"/>
    <w:link w:val="a3"/>
    <w:uiPriority w:val="99"/>
    <w:rsid w:val="00E855D0"/>
    <w:rPr>
      <w:rFonts w:ascii="Times New Roman" w:eastAsia="Times New Roman" w:hAnsi="Times New Roman" w:cs="Times New Roman"/>
      <w:b/>
      <w:bCs/>
      <w:color w:val="000000"/>
      <w:kern w:val="28"/>
      <w:sz w:val="24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55D0"/>
    <w:pPr>
      <w:keepNext/>
      <w:spacing w:before="120" w:after="120"/>
      <w:ind w:left="567" w:right="567"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5D0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paragraph" w:styleId="a3">
    <w:name w:val="Title"/>
    <w:basedOn w:val="a"/>
    <w:next w:val="a"/>
    <w:link w:val="a4"/>
    <w:uiPriority w:val="99"/>
    <w:qFormat/>
    <w:rsid w:val="00E855D0"/>
    <w:pPr>
      <w:spacing w:before="120" w:after="120"/>
      <w:ind w:left="567" w:right="567" w:firstLine="0"/>
      <w:jc w:val="center"/>
      <w:outlineLvl w:val="0"/>
    </w:pPr>
    <w:rPr>
      <w:rFonts w:eastAsia="Times New Roman"/>
      <w:b/>
      <w:bCs/>
      <w:kern w:val="28"/>
      <w:sz w:val="24"/>
      <w:szCs w:val="32"/>
      <w:lang w:val="x-none"/>
    </w:rPr>
  </w:style>
  <w:style w:type="character" w:customStyle="1" w:styleId="a4">
    <w:name w:val="Название Знак"/>
    <w:basedOn w:val="a0"/>
    <w:link w:val="a3"/>
    <w:uiPriority w:val="99"/>
    <w:rsid w:val="00E855D0"/>
    <w:rPr>
      <w:rFonts w:ascii="Times New Roman" w:eastAsia="Times New Roman" w:hAnsi="Times New Roman" w:cs="Times New Roman"/>
      <w:b/>
      <w:bCs/>
      <w:color w:val="000000"/>
      <w:kern w:val="28"/>
      <w:sz w:val="24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Company>Home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409Hello</dc:creator>
  <cp:keywords/>
  <dc:description/>
  <cp:lastModifiedBy>409Hello</cp:lastModifiedBy>
  <cp:revision>2</cp:revision>
  <dcterms:created xsi:type="dcterms:W3CDTF">2017-06-28T13:26:00Z</dcterms:created>
  <dcterms:modified xsi:type="dcterms:W3CDTF">2017-06-28T13:27:00Z</dcterms:modified>
</cp:coreProperties>
</file>